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29513" w14:textId="77777777" w:rsidR="00720DC5" w:rsidRDefault="00720DC5" w:rsidP="00720DC5">
      <w:pPr>
        <w:spacing w:after="120"/>
        <w:jc w:val="center"/>
      </w:pPr>
      <w:bookmarkStart w:id="0" w:name="_GoBack"/>
      <w:bookmarkEnd w:id="0"/>
      <w:r>
        <w:rPr>
          <w:i/>
          <w:iCs/>
          <w:color w:val="000000"/>
        </w:rPr>
        <w:t>(</w:t>
      </w:r>
      <w:bookmarkStart w:id="1" w:name="chuong_pl_2"/>
      <w:r>
        <w:rPr>
          <w:i/>
          <w:iCs/>
          <w:color w:val="000000"/>
        </w:rPr>
        <w:t>Mẫu số 01/</w:t>
      </w:r>
      <w:r w:rsidR="00AE2348">
        <w:rPr>
          <w:i/>
          <w:iCs/>
          <w:color w:val="000000"/>
        </w:rPr>
        <w:t>QĐ-CKNS</w:t>
      </w:r>
      <w:r>
        <w:rPr>
          <w:i/>
          <w:iCs/>
          <w:color w:val="000000"/>
        </w:rPr>
        <w:t xml:space="preserve"> ban hành kèm theo Thông tư số 61/2017/TT-BTC ngày 15 tháng 6 năm 2017 của Bộ Tài chính</w:t>
      </w:r>
      <w:bookmarkEnd w:id="1"/>
      <w:r>
        <w:rPr>
          <w:i/>
          <w:iCs/>
          <w:color w:val="000000"/>
        </w:rPr>
        <w:t>)</w:t>
      </w:r>
    </w:p>
    <w:tbl>
      <w:tblPr>
        <w:tblW w:w="9640" w:type="dxa"/>
        <w:tblInd w:w="-176" w:type="dxa"/>
        <w:tblBorders>
          <w:top w:val="nil"/>
          <w:bottom w:val="nil"/>
          <w:insideH w:val="nil"/>
          <w:insideV w:val="nil"/>
        </w:tblBorders>
        <w:tblCellMar>
          <w:left w:w="0" w:type="dxa"/>
          <w:right w:w="0" w:type="dxa"/>
        </w:tblCellMar>
        <w:tblLook w:val="04A0" w:firstRow="1" w:lastRow="0" w:firstColumn="1" w:lastColumn="0" w:noHBand="0" w:noVBand="1"/>
      </w:tblPr>
      <w:tblGrid>
        <w:gridCol w:w="4395"/>
        <w:gridCol w:w="5245"/>
      </w:tblGrid>
      <w:tr w:rsidR="00720DC5" w14:paraId="5FCDF580" w14:textId="77777777" w:rsidTr="00720DC5">
        <w:tc>
          <w:tcPr>
            <w:tcW w:w="4395" w:type="dxa"/>
            <w:tcBorders>
              <w:top w:val="nil"/>
              <w:left w:val="nil"/>
              <w:bottom w:val="nil"/>
              <w:right w:val="nil"/>
              <w:tl2br w:val="nil"/>
              <w:tr2bl w:val="nil"/>
            </w:tcBorders>
            <w:shd w:val="clear" w:color="auto" w:fill="auto"/>
            <w:tcMar>
              <w:top w:w="0" w:type="dxa"/>
              <w:left w:w="108" w:type="dxa"/>
              <w:bottom w:w="0" w:type="dxa"/>
              <w:right w:w="108" w:type="dxa"/>
            </w:tcMar>
          </w:tcPr>
          <w:p w14:paraId="63ADB5C5" w14:textId="77777777" w:rsidR="00B2069F" w:rsidRPr="00B2069F" w:rsidRDefault="00B2069F" w:rsidP="00D5022D">
            <w:pPr>
              <w:jc w:val="center"/>
              <w:rPr>
                <w:bCs/>
                <w:color w:val="000000"/>
              </w:rPr>
            </w:pPr>
            <w:r w:rsidRPr="00B2069F">
              <w:rPr>
                <w:bCs/>
                <w:color w:val="000000"/>
              </w:rPr>
              <w:t>UBND HUYỆN GIA LỘC</w:t>
            </w:r>
          </w:p>
          <w:p w14:paraId="2DA83715" w14:textId="23BEF970" w:rsidR="00D21537" w:rsidRDefault="00720DC5" w:rsidP="00D21537">
            <w:pPr>
              <w:jc w:val="center"/>
              <w:rPr>
                <w:b/>
                <w:bCs/>
                <w:color w:val="000000"/>
              </w:rPr>
            </w:pPr>
            <w:r>
              <w:rPr>
                <w:b/>
                <w:bCs/>
                <w:color w:val="000000"/>
              </w:rPr>
              <w:t xml:space="preserve">TRƯỜNG </w:t>
            </w:r>
            <w:r w:rsidR="00235BB3">
              <w:rPr>
                <w:b/>
                <w:bCs/>
                <w:color w:val="000000"/>
              </w:rPr>
              <w:t>TH</w:t>
            </w:r>
            <w:r w:rsidR="00B37A47">
              <w:rPr>
                <w:b/>
                <w:bCs/>
                <w:color w:val="000000"/>
              </w:rPr>
              <w:t xml:space="preserve"> </w:t>
            </w:r>
            <w:r w:rsidR="00D21537">
              <w:rPr>
                <w:b/>
                <w:bCs/>
                <w:color w:val="000000"/>
              </w:rPr>
              <w:t>QUANG MINH</w:t>
            </w:r>
          </w:p>
          <w:p w14:paraId="1A23256E" w14:textId="713A6162" w:rsidR="00720DC5" w:rsidRDefault="00720DC5" w:rsidP="00D21537">
            <w:pPr>
              <w:jc w:val="center"/>
            </w:pPr>
          </w:p>
        </w:tc>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14:paraId="515FB5CA" w14:textId="0C1A9C87" w:rsidR="00720DC5" w:rsidRDefault="00962DD0" w:rsidP="00235BB3">
            <w:pPr>
              <w:jc w:val="center"/>
            </w:pPr>
            <w:r>
              <w:rPr>
                <w:b/>
                <w:bCs/>
                <w:noProof/>
                <w:lang w:eastAsia="en-US"/>
              </w:rPr>
              <w:pict w14:anchorId="24A231AD">
                <v:shapetype id="_x0000_t32" coordsize="21600,21600" o:spt="32" o:oned="t" path="m,l21600,21600e" filled="f">
                  <v:path arrowok="t" fillok="f" o:connecttype="none"/>
                  <o:lock v:ext="edit" shapetype="t"/>
                </v:shapetype>
                <v:shape id="_x0000_s1027" type="#_x0000_t32" style="position:absolute;left:0;text-align:left;margin-left:54.25pt;margin-top:29.7pt;width:137.25pt;height:0;z-index:251659264;mso-position-horizontal-relative:text;mso-position-vertical-relative:text" o:connectortype="straight"/>
              </w:pict>
            </w:r>
            <w:r>
              <w:rPr>
                <w:b/>
                <w:bCs/>
                <w:noProof/>
                <w:lang w:eastAsia="en-US"/>
              </w:rPr>
              <w:pict w14:anchorId="6B6E9D35">
                <v:shape id="_x0000_s1026" type="#_x0000_t32" style="position:absolute;left:0;text-align:left;margin-left:-130.25pt;margin-top:29.7pt;width:55.5pt;height:0;z-index:251658240;mso-position-horizontal-relative:text;mso-position-vertical-relative:text" o:connectortype="straight"/>
              </w:pict>
            </w:r>
            <w:r w:rsidR="00720DC5">
              <w:rPr>
                <w:b/>
                <w:bCs/>
              </w:rPr>
              <w:t>CỘNG HÒA XÃ HỘI CHỦ NGHĨA VIỆT NAM</w:t>
            </w:r>
            <w:r w:rsidR="00720DC5">
              <w:rPr>
                <w:b/>
                <w:bCs/>
              </w:rPr>
              <w:br/>
              <w:t xml:space="preserve">Độc lập - Tự do - Hạnh phúc </w:t>
            </w:r>
            <w:r w:rsidR="00720DC5">
              <w:rPr>
                <w:b/>
                <w:bCs/>
              </w:rPr>
              <w:br/>
            </w:r>
          </w:p>
        </w:tc>
      </w:tr>
      <w:tr w:rsidR="00720DC5" w14:paraId="30031E60" w14:textId="77777777" w:rsidTr="00720DC5">
        <w:tblPrEx>
          <w:tblBorders>
            <w:top w:val="none" w:sz="0" w:space="0" w:color="auto"/>
            <w:bottom w:val="none" w:sz="0" w:space="0" w:color="auto"/>
            <w:insideH w:val="none" w:sz="0" w:space="0" w:color="auto"/>
            <w:insideV w:val="none" w:sz="0" w:space="0" w:color="auto"/>
          </w:tblBorders>
        </w:tblPrEx>
        <w:tc>
          <w:tcPr>
            <w:tcW w:w="4395" w:type="dxa"/>
            <w:tcBorders>
              <w:top w:val="nil"/>
              <w:left w:val="nil"/>
              <w:bottom w:val="nil"/>
              <w:right w:val="nil"/>
              <w:tl2br w:val="nil"/>
              <w:tr2bl w:val="nil"/>
            </w:tcBorders>
            <w:shd w:val="clear" w:color="auto" w:fill="auto"/>
            <w:tcMar>
              <w:top w:w="0" w:type="dxa"/>
              <w:left w:w="108" w:type="dxa"/>
              <w:bottom w:w="0" w:type="dxa"/>
              <w:right w:w="108" w:type="dxa"/>
            </w:tcMar>
          </w:tcPr>
          <w:p w14:paraId="7B5017A6" w14:textId="6D2C2D4E" w:rsidR="00B37A47" w:rsidRPr="00B37A47" w:rsidRDefault="00720DC5" w:rsidP="00D21537">
            <w:pPr>
              <w:jc w:val="center"/>
              <w:rPr>
                <w:color w:val="000000"/>
              </w:rPr>
            </w:pPr>
            <w:r>
              <w:rPr>
                <w:color w:val="000000"/>
              </w:rPr>
              <w:t>Số: </w:t>
            </w:r>
            <w:r w:rsidR="001D48EC">
              <w:rPr>
                <w:color w:val="000000"/>
              </w:rPr>
              <w:t xml:space="preserve"> 03</w:t>
            </w:r>
            <w:r>
              <w:rPr>
                <w:color w:val="000000"/>
              </w:rPr>
              <w:t>/QĐ-TH</w:t>
            </w:r>
            <w:r w:rsidR="00D21537">
              <w:rPr>
                <w:color w:val="000000"/>
              </w:rPr>
              <w:t>QM</w:t>
            </w:r>
          </w:p>
        </w:tc>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14:paraId="4AA82793" w14:textId="6AA7DDDD" w:rsidR="00720DC5" w:rsidRDefault="00D21537" w:rsidP="007C3CB7">
            <w:pPr>
              <w:jc w:val="right"/>
            </w:pPr>
            <w:r>
              <w:rPr>
                <w:i/>
                <w:iCs/>
                <w:color w:val="000000"/>
              </w:rPr>
              <w:t>Quang Minh</w:t>
            </w:r>
            <w:r w:rsidR="00720DC5">
              <w:rPr>
                <w:i/>
                <w:iCs/>
                <w:color w:val="000000"/>
              </w:rPr>
              <w:t xml:space="preserve">, ngày </w:t>
            </w:r>
            <w:r w:rsidR="00616553">
              <w:rPr>
                <w:i/>
                <w:iCs/>
                <w:color w:val="000000"/>
              </w:rPr>
              <w:t>1</w:t>
            </w:r>
            <w:r w:rsidR="007C3CB7">
              <w:rPr>
                <w:i/>
                <w:iCs/>
                <w:color w:val="000000"/>
              </w:rPr>
              <w:t xml:space="preserve">5 </w:t>
            </w:r>
            <w:r w:rsidR="00720DC5">
              <w:rPr>
                <w:i/>
                <w:iCs/>
                <w:color w:val="000000"/>
              </w:rPr>
              <w:t xml:space="preserve">tháng </w:t>
            </w:r>
            <w:r w:rsidR="00B37A47">
              <w:rPr>
                <w:i/>
                <w:iCs/>
                <w:color w:val="000000"/>
              </w:rPr>
              <w:t>01</w:t>
            </w:r>
            <w:r w:rsidR="00720DC5">
              <w:rPr>
                <w:i/>
                <w:iCs/>
                <w:color w:val="000000"/>
              </w:rPr>
              <w:t xml:space="preserve"> năm</w:t>
            </w:r>
            <w:r w:rsidR="00DD2D74">
              <w:rPr>
                <w:i/>
                <w:iCs/>
                <w:color w:val="000000"/>
              </w:rPr>
              <w:t xml:space="preserve"> 20</w:t>
            </w:r>
            <w:r w:rsidR="00B37A47">
              <w:rPr>
                <w:i/>
                <w:iCs/>
                <w:color w:val="000000"/>
              </w:rPr>
              <w:t>2</w:t>
            </w:r>
            <w:r w:rsidR="007C3CB7">
              <w:rPr>
                <w:i/>
                <w:iCs/>
                <w:color w:val="000000"/>
              </w:rPr>
              <w:t>4</w:t>
            </w:r>
          </w:p>
        </w:tc>
      </w:tr>
    </w:tbl>
    <w:p w14:paraId="02B118E7" w14:textId="77777777" w:rsidR="00720DC5" w:rsidRDefault="00720DC5" w:rsidP="00190B44">
      <w:pPr>
        <w:spacing w:after="120" w:line="276" w:lineRule="auto"/>
      </w:pPr>
      <w:r>
        <w:rPr>
          <w:color w:val="000000"/>
        </w:rPr>
        <w:t> </w:t>
      </w:r>
    </w:p>
    <w:p w14:paraId="5F150918" w14:textId="77777777" w:rsidR="00AE2348" w:rsidRPr="00AE2348" w:rsidRDefault="00AE2348" w:rsidP="00235BB3">
      <w:pPr>
        <w:spacing w:after="120"/>
        <w:jc w:val="center"/>
        <w:rPr>
          <w:sz w:val="28"/>
          <w:szCs w:val="28"/>
        </w:rPr>
      </w:pPr>
      <w:r w:rsidRPr="00AE2348">
        <w:rPr>
          <w:b/>
          <w:bCs/>
          <w:color w:val="000000"/>
          <w:sz w:val="28"/>
          <w:szCs w:val="28"/>
        </w:rPr>
        <w:t>QUYẾT ĐỊNH</w:t>
      </w:r>
    </w:p>
    <w:p w14:paraId="7D587FFA" w14:textId="77F1AA29" w:rsidR="00235BB3" w:rsidRDefault="00AE2348" w:rsidP="00235BB3">
      <w:pPr>
        <w:spacing w:after="120"/>
        <w:jc w:val="center"/>
        <w:rPr>
          <w:b/>
          <w:bCs/>
          <w:color w:val="000000"/>
          <w:sz w:val="28"/>
          <w:szCs w:val="28"/>
        </w:rPr>
      </w:pPr>
      <w:r w:rsidRPr="00AE2348">
        <w:rPr>
          <w:b/>
          <w:bCs/>
          <w:color w:val="000000"/>
          <w:sz w:val="28"/>
          <w:szCs w:val="28"/>
        </w:rPr>
        <w:t>Về việc công bố công khai dự toán ngân sách</w:t>
      </w:r>
      <w:r w:rsidR="00B2069F">
        <w:rPr>
          <w:b/>
          <w:bCs/>
          <w:color w:val="000000"/>
          <w:sz w:val="28"/>
          <w:szCs w:val="28"/>
        </w:rPr>
        <w:t xml:space="preserve"> </w:t>
      </w:r>
      <w:r w:rsidRPr="00AE2348">
        <w:rPr>
          <w:b/>
          <w:bCs/>
          <w:color w:val="000000"/>
          <w:sz w:val="28"/>
          <w:szCs w:val="28"/>
        </w:rPr>
        <w:t>năm</w:t>
      </w:r>
      <w:r w:rsidR="00B37A47">
        <w:rPr>
          <w:b/>
          <w:bCs/>
          <w:color w:val="000000"/>
          <w:sz w:val="28"/>
          <w:szCs w:val="28"/>
        </w:rPr>
        <w:t xml:space="preserve"> 202</w:t>
      </w:r>
      <w:r w:rsidR="007C3CB7">
        <w:rPr>
          <w:b/>
          <w:bCs/>
          <w:color w:val="000000"/>
          <w:sz w:val="28"/>
          <w:szCs w:val="28"/>
        </w:rPr>
        <w:t>4</w:t>
      </w:r>
      <w:r>
        <w:rPr>
          <w:b/>
          <w:bCs/>
          <w:color w:val="000000"/>
          <w:sz w:val="28"/>
          <w:szCs w:val="28"/>
        </w:rPr>
        <w:t xml:space="preserve"> </w:t>
      </w:r>
    </w:p>
    <w:p w14:paraId="4789ED9D" w14:textId="73F39AE4" w:rsidR="00AE2348" w:rsidRPr="00235BB3" w:rsidRDefault="00962DD0" w:rsidP="00235BB3">
      <w:pPr>
        <w:spacing w:after="120"/>
        <w:jc w:val="center"/>
        <w:rPr>
          <w:b/>
          <w:bCs/>
          <w:color w:val="000000"/>
          <w:sz w:val="28"/>
          <w:szCs w:val="28"/>
        </w:rPr>
      </w:pPr>
      <w:r>
        <w:rPr>
          <w:b/>
          <w:bCs/>
          <w:noProof/>
          <w:lang w:eastAsia="en-US"/>
        </w:rPr>
        <w:pict w14:anchorId="6B6E9D35">
          <v:shape id="_x0000_s1028" type="#_x0000_t32" style="position:absolute;left:0;text-align:left;margin-left:201.45pt;margin-top:18.35pt;width:55.5pt;height:0;z-index:251660288" o:connectortype="straight"/>
        </w:pict>
      </w:r>
      <w:r w:rsidR="00AE2348" w:rsidRPr="00AE2348">
        <w:rPr>
          <w:b/>
          <w:bCs/>
          <w:color w:val="000000"/>
          <w:sz w:val="28"/>
          <w:szCs w:val="28"/>
        </w:rPr>
        <w:t xml:space="preserve">của </w:t>
      </w:r>
      <w:r w:rsidR="00AE2348">
        <w:rPr>
          <w:b/>
          <w:bCs/>
          <w:color w:val="000000"/>
          <w:sz w:val="28"/>
          <w:szCs w:val="28"/>
        </w:rPr>
        <w:t xml:space="preserve">Trường </w:t>
      </w:r>
      <w:r w:rsidR="00B37A47">
        <w:rPr>
          <w:b/>
          <w:bCs/>
          <w:color w:val="000000"/>
          <w:sz w:val="28"/>
          <w:szCs w:val="28"/>
        </w:rPr>
        <w:t xml:space="preserve">Tiểu học </w:t>
      </w:r>
      <w:r w:rsidR="00D21537">
        <w:rPr>
          <w:b/>
          <w:bCs/>
          <w:color w:val="000000"/>
          <w:sz w:val="28"/>
          <w:szCs w:val="28"/>
        </w:rPr>
        <w:t>Quang Minh</w:t>
      </w:r>
    </w:p>
    <w:p w14:paraId="67EB9703" w14:textId="77777777" w:rsidR="00235BB3" w:rsidRDefault="00235BB3" w:rsidP="008D772A">
      <w:pPr>
        <w:spacing w:after="120" w:line="276" w:lineRule="auto"/>
        <w:ind w:firstLine="720"/>
        <w:jc w:val="both"/>
        <w:rPr>
          <w:i/>
          <w:color w:val="000000"/>
          <w:sz w:val="28"/>
          <w:szCs w:val="28"/>
        </w:rPr>
      </w:pPr>
    </w:p>
    <w:p w14:paraId="116D8A10" w14:textId="77777777" w:rsidR="00AE2348" w:rsidRPr="00D21537" w:rsidRDefault="00AE2348" w:rsidP="008D772A">
      <w:pPr>
        <w:spacing w:after="120" w:line="276" w:lineRule="auto"/>
        <w:ind w:firstLine="720"/>
        <w:jc w:val="both"/>
        <w:rPr>
          <w:i/>
          <w:sz w:val="28"/>
          <w:szCs w:val="28"/>
        </w:rPr>
      </w:pPr>
      <w:r w:rsidRPr="00D21537">
        <w:rPr>
          <w:i/>
          <w:color w:val="000000"/>
          <w:sz w:val="28"/>
          <w:szCs w:val="28"/>
        </w:rPr>
        <w:t>Căn cứ Nghị định số 163/2016/NĐ-CP ngày 21 tháng 12 năm 2016 của Chính phủ quy định chi tiết thi hành một số điều của Luật Ngân sách nhà nước;</w:t>
      </w:r>
    </w:p>
    <w:p w14:paraId="32563C1D" w14:textId="77777777" w:rsidR="00AE2348" w:rsidRPr="00D21537" w:rsidRDefault="00AE2348" w:rsidP="008D772A">
      <w:pPr>
        <w:spacing w:after="120" w:line="276" w:lineRule="auto"/>
        <w:ind w:firstLine="720"/>
        <w:jc w:val="both"/>
        <w:rPr>
          <w:i/>
          <w:sz w:val="28"/>
          <w:szCs w:val="28"/>
        </w:rPr>
      </w:pPr>
      <w:r w:rsidRPr="00D21537">
        <w:rPr>
          <w:i/>
          <w:color w:val="000000"/>
          <w:sz w:val="28"/>
          <w:szCs w:val="28"/>
        </w:rPr>
        <w:t>Căn cứ Thông tư số 61/2017/TT-BTC ngày 15 tháng 6 năm 2017 của Bộ Tài chính hướng dẫn thực hiện công khai ngân sách đối với đơn vị dự toán ngân sách, các tổ chức được ngân sách nhà nước hỗ trợ;</w:t>
      </w:r>
    </w:p>
    <w:p w14:paraId="314CF622" w14:textId="5BB43F5D" w:rsidR="00AE2348" w:rsidRDefault="00AE2348" w:rsidP="008D772A">
      <w:pPr>
        <w:spacing w:after="120" w:line="276" w:lineRule="auto"/>
        <w:ind w:firstLine="720"/>
        <w:jc w:val="both"/>
        <w:rPr>
          <w:i/>
          <w:color w:val="000000"/>
          <w:sz w:val="28"/>
          <w:szCs w:val="28"/>
        </w:rPr>
      </w:pPr>
      <w:r w:rsidRPr="00D21537">
        <w:rPr>
          <w:i/>
          <w:color w:val="000000"/>
          <w:sz w:val="28"/>
          <w:szCs w:val="28"/>
        </w:rPr>
        <w:t>Căn cứ</w:t>
      </w:r>
      <w:r w:rsidR="00EA0AE5" w:rsidRPr="00D21537">
        <w:rPr>
          <w:i/>
          <w:color w:val="000000"/>
          <w:sz w:val="28"/>
          <w:szCs w:val="28"/>
        </w:rPr>
        <w:t xml:space="preserve"> Thông tư số 90/2018/TT-</w:t>
      </w:r>
      <w:r w:rsidR="00A1585C" w:rsidRPr="00D21537">
        <w:rPr>
          <w:i/>
          <w:color w:val="000000"/>
          <w:sz w:val="28"/>
          <w:szCs w:val="28"/>
        </w:rPr>
        <w:t>BTC ngày 28 tháng 9 năm 2018 của Bộ Tài chính sửa đổi, bổ sung một số điều của</w:t>
      </w:r>
      <w:r w:rsidR="009C62BD" w:rsidRPr="00D21537">
        <w:rPr>
          <w:i/>
          <w:color w:val="000000"/>
          <w:sz w:val="28"/>
          <w:szCs w:val="28"/>
        </w:rPr>
        <w:t xml:space="preserve"> Thông tư số 61/2017/TT-BTC ngày 15/6/2017 c</w:t>
      </w:r>
      <w:r w:rsidR="009606F3" w:rsidRPr="00D21537">
        <w:rPr>
          <w:i/>
          <w:color w:val="000000"/>
          <w:sz w:val="28"/>
          <w:szCs w:val="28"/>
        </w:rPr>
        <w:t>ủa</w:t>
      </w:r>
      <w:r w:rsidR="009C62BD" w:rsidRPr="00D21537">
        <w:rPr>
          <w:i/>
          <w:color w:val="000000"/>
          <w:sz w:val="28"/>
          <w:szCs w:val="28"/>
        </w:rPr>
        <w:t xml:space="preserve"> Bộ Tài chính</w:t>
      </w:r>
      <w:r w:rsidRPr="00D21537">
        <w:rPr>
          <w:i/>
          <w:color w:val="000000"/>
          <w:sz w:val="28"/>
          <w:szCs w:val="28"/>
        </w:rPr>
        <w:t>;</w:t>
      </w:r>
    </w:p>
    <w:p w14:paraId="2CEFC7F9" w14:textId="7D7A2C8E" w:rsidR="002F2B46" w:rsidRPr="00D21537" w:rsidRDefault="002F2B46" w:rsidP="008D772A">
      <w:pPr>
        <w:spacing w:after="120" w:line="276" w:lineRule="auto"/>
        <w:ind w:firstLine="720"/>
        <w:jc w:val="both"/>
        <w:rPr>
          <w:i/>
          <w:sz w:val="28"/>
          <w:szCs w:val="28"/>
        </w:rPr>
      </w:pPr>
      <w:r>
        <w:rPr>
          <w:i/>
          <w:color w:val="000000"/>
          <w:sz w:val="28"/>
          <w:szCs w:val="28"/>
        </w:rPr>
        <w:t>Căn cứ Quyết định số 2979/QĐ-UBND của UBND huyện Gia Lộc ngày 25/12/2023 về việc giao chỉ tiêu phát triển kinh tế - xã hội, dự toán ngân sách nhà nước và kế hoạch đầu tư công năm 2024</w:t>
      </w:r>
    </w:p>
    <w:p w14:paraId="708B48C5" w14:textId="25FE93DD" w:rsidR="00AE2348" w:rsidRPr="00D21537" w:rsidRDefault="00AE2348" w:rsidP="008D772A">
      <w:pPr>
        <w:spacing w:after="120" w:line="276" w:lineRule="auto"/>
        <w:ind w:firstLine="720"/>
        <w:rPr>
          <w:i/>
          <w:sz w:val="28"/>
          <w:szCs w:val="28"/>
        </w:rPr>
      </w:pPr>
      <w:r w:rsidRPr="00D21537">
        <w:rPr>
          <w:i/>
          <w:color w:val="000000"/>
          <w:sz w:val="28"/>
          <w:szCs w:val="28"/>
        </w:rPr>
        <w:t>Xét đề nghị của</w:t>
      </w:r>
      <w:r w:rsidR="003D2E4B" w:rsidRPr="00D21537">
        <w:rPr>
          <w:i/>
          <w:color w:val="000000"/>
          <w:sz w:val="28"/>
          <w:szCs w:val="28"/>
        </w:rPr>
        <w:t xml:space="preserve"> bộ phận kế toán</w:t>
      </w:r>
      <w:r w:rsidR="00D21537">
        <w:rPr>
          <w:i/>
          <w:color w:val="000000"/>
          <w:sz w:val="28"/>
          <w:szCs w:val="28"/>
        </w:rPr>
        <w:t>.</w:t>
      </w:r>
    </w:p>
    <w:p w14:paraId="2A73A647" w14:textId="77777777" w:rsidR="00AE2348" w:rsidRPr="00AE2348" w:rsidRDefault="00AE2348" w:rsidP="008D772A">
      <w:pPr>
        <w:spacing w:after="120" w:line="276" w:lineRule="auto"/>
        <w:jc w:val="center"/>
        <w:rPr>
          <w:sz w:val="28"/>
          <w:szCs w:val="28"/>
        </w:rPr>
      </w:pPr>
      <w:r w:rsidRPr="00AE2348">
        <w:rPr>
          <w:b/>
          <w:bCs/>
          <w:color w:val="000000"/>
          <w:sz w:val="28"/>
          <w:szCs w:val="28"/>
        </w:rPr>
        <w:t>QUYẾT ĐỊNH:</w:t>
      </w:r>
    </w:p>
    <w:p w14:paraId="31BEBD3F" w14:textId="3147C655" w:rsidR="00AE2348" w:rsidRPr="00AE2348" w:rsidRDefault="00223D63" w:rsidP="008D772A">
      <w:pPr>
        <w:spacing w:after="120" w:line="276" w:lineRule="auto"/>
        <w:ind w:firstLine="720"/>
        <w:jc w:val="both"/>
        <w:rPr>
          <w:sz w:val="28"/>
          <w:szCs w:val="28"/>
        </w:rPr>
      </w:pPr>
      <w:r>
        <w:rPr>
          <w:b/>
          <w:bCs/>
          <w:color w:val="000000"/>
          <w:sz w:val="28"/>
          <w:szCs w:val="28"/>
        </w:rPr>
        <w:t xml:space="preserve">Điều </w:t>
      </w:r>
      <w:r w:rsidR="00AE2348" w:rsidRPr="00AE2348">
        <w:rPr>
          <w:b/>
          <w:bCs/>
          <w:color w:val="000000"/>
          <w:sz w:val="28"/>
          <w:szCs w:val="28"/>
        </w:rPr>
        <w:t>1.</w:t>
      </w:r>
      <w:r w:rsidR="00AE2348" w:rsidRPr="00AE2348">
        <w:rPr>
          <w:color w:val="000000"/>
          <w:sz w:val="28"/>
          <w:szCs w:val="28"/>
        </w:rPr>
        <w:t xml:space="preserve"> Công bố công khai số liệu dự toán ngân sách</w:t>
      </w:r>
      <w:r w:rsidR="009A0541">
        <w:rPr>
          <w:color w:val="000000"/>
          <w:sz w:val="28"/>
          <w:szCs w:val="28"/>
        </w:rPr>
        <w:t xml:space="preserve"> </w:t>
      </w:r>
      <w:r w:rsidR="00AE2348" w:rsidRPr="00AE2348">
        <w:rPr>
          <w:color w:val="000000"/>
          <w:sz w:val="28"/>
          <w:szCs w:val="28"/>
        </w:rPr>
        <w:t xml:space="preserve">năm </w:t>
      </w:r>
      <w:r w:rsidR="00B37A47">
        <w:rPr>
          <w:color w:val="000000"/>
          <w:sz w:val="28"/>
          <w:szCs w:val="28"/>
        </w:rPr>
        <w:t>202</w:t>
      </w:r>
      <w:r w:rsidR="007C3CB7">
        <w:rPr>
          <w:color w:val="000000"/>
          <w:sz w:val="28"/>
          <w:szCs w:val="28"/>
        </w:rPr>
        <w:t>4</w:t>
      </w:r>
      <w:r w:rsidR="003D2E4B">
        <w:rPr>
          <w:color w:val="000000"/>
          <w:sz w:val="28"/>
          <w:szCs w:val="28"/>
        </w:rPr>
        <w:t xml:space="preserve"> </w:t>
      </w:r>
      <w:r w:rsidR="00AE2348" w:rsidRPr="00AE2348">
        <w:rPr>
          <w:color w:val="000000"/>
          <w:sz w:val="28"/>
          <w:szCs w:val="28"/>
        </w:rPr>
        <w:t xml:space="preserve">của </w:t>
      </w:r>
      <w:r w:rsidR="003D2E4B">
        <w:rPr>
          <w:bCs/>
          <w:color w:val="000000"/>
          <w:sz w:val="28"/>
          <w:szCs w:val="28"/>
        </w:rPr>
        <w:t>t</w:t>
      </w:r>
      <w:r w:rsidR="003D2E4B" w:rsidRPr="003D2E4B">
        <w:rPr>
          <w:bCs/>
          <w:color w:val="000000"/>
          <w:sz w:val="28"/>
          <w:szCs w:val="28"/>
        </w:rPr>
        <w:t xml:space="preserve">rường </w:t>
      </w:r>
      <w:r w:rsidR="00B37A47">
        <w:rPr>
          <w:bCs/>
          <w:color w:val="000000"/>
          <w:sz w:val="28"/>
          <w:szCs w:val="28"/>
        </w:rPr>
        <w:t xml:space="preserve">Tiểu học </w:t>
      </w:r>
      <w:r w:rsidR="00D21537">
        <w:rPr>
          <w:bCs/>
          <w:color w:val="000000"/>
          <w:sz w:val="28"/>
          <w:szCs w:val="28"/>
        </w:rPr>
        <w:t>Quang Minh</w:t>
      </w:r>
      <w:r w:rsidR="003D2E4B" w:rsidRPr="00AE2348">
        <w:rPr>
          <w:color w:val="000000"/>
          <w:sz w:val="28"/>
          <w:szCs w:val="28"/>
        </w:rPr>
        <w:t xml:space="preserve"> </w:t>
      </w:r>
      <w:r w:rsidR="00AE2348" w:rsidRPr="00AE2348">
        <w:rPr>
          <w:color w:val="000000"/>
          <w:sz w:val="28"/>
          <w:szCs w:val="28"/>
        </w:rPr>
        <w:t>(theo các biểu đính kèm)</w:t>
      </w:r>
      <w:r w:rsidR="00962DD0">
        <w:rPr>
          <w:color w:val="000000"/>
          <w:sz w:val="28"/>
          <w:szCs w:val="28"/>
        </w:rPr>
        <w:t>.</w:t>
      </w:r>
    </w:p>
    <w:p w14:paraId="7D6EF05A" w14:textId="77777777" w:rsidR="00AE2348" w:rsidRPr="00AE2348" w:rsidRDefault="00AE2348" w:rsidP="008D772A">
      <w:pPr>
        <w:spacing w:after="120" w:line="276" w:lineRule="auto"/>
        <w:ind w:firstLine="720"/>
        <w:jc w:val="both"/>
        <w:rPr>
          <w:sz w:val="28"/>
          <w:szCs w:val="28"/>
        </w:rPr>
      </w:pPr>
      <w:r w:rsidRPr="00AE2348">
        <w:rPr>
          <w:b/>
          <w:bCs/>
          <w:color w:val="000000"/>
          <w:sz w:val="28"/>
          <w:szCs w:val="28"/>
        </w:rPr>
        <w:t>Điều 2.</w:t>
      </w:r>
      <w:r w:rsidRPr="00AE2348">
        <w:rPr>
          <w:color w:val="000000"/>
          <w:sz w:val="28"/>
          <w:szCs w:val="28"/>
        </w:rPr>
        <w:t xml:space="preserve"> Quyết định này có hiệu lực kể từ ngày ký.</w:t>
      </w:r>
    </w:p>
    <w:p w14:paraId="24079E10" w14:textId="33E1AAAF" w:rsidR="00AE2348" w:rsidRPr="00AE2348" w:rsidRDefault="00AE2348" w:rsidP="008D772A">
      <w:pPr>
        <w:spacing w:after="120" w:line="276" w:lineRule="auto"/>
        <w:ind w:firstLine="720"/>
        <w:jc w:val="both"/>
        <w:rPr>
          <w:sz w:val="28"/>
          <w:szCs w:val="28"/>
        </w:rPr>
      </w:pPr>
      <w:r w:rsidRPr="00AE2348">
        <w:rPr>
          <w:b/>
          <w:bCs/>
          <w:color w:val="000000"/>
          <w:sz w:val="28"/>
          <w:szCs w:val="28"/>
        </w:rPr>
        <w:t>Điều 3.</w:t>
      </w:r>
      <w:r w:rsidRPr="00AE2348">
        <w:rPr>
          <w:color w:val="000000"/>
          <w:sz w:val="28"/>
          <w:szCs w:val="28"/>
        </w:rPr>
        <w:t xml:space="preserve"> </w:t>
      </w:r>
      <w:r w:rsidR="00997BF4">
        <w:rPr>
          <w:color w:val="000000"/>
          <w:sz w:val="28"/>
          <w:szCs w:val="28"/>
        </w:rPr>
        <w:t>Tổ trưởng tổ văn phòng, bộ phận kế toán</w:t>
      </w:r>
      <w:r w:rsidR="00BA027D">
        <w:rPr>
          <w:color w:val="000000"/>
          <w:sz w:val="28"/>
          <w:szCs w:val="28"/>
        </w:rPr>
        <w:t xml:space="preserve"> và các bộ phận có liên quan</w:t>
      </w:r>
      <w:r w:rsidRPr="00AE2348">
        <w:rPr>
          <w:color w:val="000000"/>
          <w:sz w:val="28"/>
          <w:szCs w:val="28"/>
        </w:rPr>
        <w:t xml:space="preserve"> thực hiện Quyết định này./.</w:t>
      </w:r>
    </w:p>
    <w:p w14:paraId="53479EE8" w14:textId="77777777" w:rsidR="00720DC5" w:rsidRDefault="00720DC5" w:rsidP="008D772A">
      <w:pPr>
        <w:spacing w:after="120" w:line="276" w:lineRule="auto"/>
      </w:pPr>
      <w: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077"/>
        <w:gridCol w:w="4926"/>
      </w:tblGrid>
      <w:tr w:rsidR="00720DC5" w14:paraId="49AB538E" w14:textId="77777777" w:rsidTr="00A1558E">
        <w:trPr>
          <w:trHeight w:val="1920"/>
        </w:trPr>
        <w:tc>
          <w:tcPr>
            <w:tcW w:w="4077" w:type="dxa"/>
            <w:tcBorders>
              <w:top w:val="nil"/>
              <w:left w:val="nil"/>
              <w:bottom w:val="nil"/>
              <w:right w:val="nil"/>
              <w:tl2br w:val="nil"/>
              <w:tr2bl w:val="nil"/>
            </w:tcBorders>
            <w:shd w:val="clear" w:color="auto" w:fill="auto"/>
            <w:tcMar>
              <w:top w:w="0" w:type="dxa"/>
              <w:left w:w="108" w:type="dxa"/>
              <w:bottom w:w="0" w:type="dxa"/>
              <w:right w:w="108" w:type="dxa"/>
            </w:tcMar>
          </w:tcPr>
          <w:p w14:paraId="7DA814FA" w14:textId="77777777" w:rsidR="00720DC5" w:rsidRDefault="00720DC5" w:rsidP="00401C4F">
            <w:r>
              <w:rPr>
                <w:b/>
                <w:bCs/>
                <w:i/>
                <w:iCs/>
              </w:rPr>
              <w:t>Nơi nhận:</w:t>
            </w:r>
            <w:r>
              <w:rPr>
                <w:b/>
                <w:bCs/>
                <w:i/>
                <w:iCs/>
              </w:rPr>
              <w:br/>
            </w:r>
            <w:r>
              <w:t>- Như trên;</w:t>
            </w:r>
            <w:r>
              <w:br/>
              <w:t>- Lưu :VT,</w:t>
            </w:r>
          </w:p>
        </w:tc>
        <w:tc>
          <w:tcPr>
            <w:tcW w:w="4926" w:type="dxa"/>
            <w:tcBorders>
              <w:top w:val="nil"/>
              <w:left w:val="nil"/>
              <w:bottom w:val="nil"/>
              <w:right w:val="nil"/>
              <w:tl2br w:val="nil"/>
              <w:tr2bl w:val="nil"/>
            </w:tcBorders>
            <w:shd w:val="clear" w:color="auto" w:fill="auto"/>
            <w:tcMar>
              <w:top w:w="0" w:type="dxa"/>
              <w:left w:w="108" w:type="dxa"/>
              <w:bottom w:w="0" w:type="dxa"/>
              <w:right w:w="108" w:type="dxa"/>
            </w:tcMar>
          </w:tcPr>
          <w:p w14:paraId="3439ADD6" w14:textId="77777777" w:rsidR="00720DC5" w:rsidRDefault="00720DC5" w:rsidP="00D5022D">
            <w:pPr>
              <w:spacing w:after="120"/>
              <w:jc w:val="center"/>
            </w:pPr>
            <w:r>
              <w:rPr>
                <w:b/>
                <w:bCs/>
              </w:rPr>
              <w:t>THỦ TRƯỞNG ĐƠN VỊ</w:t>
            </w:r>
          </w:p>
          <w:p w14:paraId="4D4FE5B3" w14:textId="77777777" w:rsidR="00720DC5" w:rsidRDefault="00720DC5" w:rsidP="00D5022D">
            <w:pPr>
              <w:jc w:val="center"/>
            </w:pPr>
          </w:p>
          <w:p w14:paraId="0D2BD8ED" w14:textId="77777777" w:rsidR="005F04C5" w:rsidRDefault="005F04C5" w:rsidP="00D5022D">
            <w:pPr>
              <w:jc w:val="center"/>
            </w:pPr>
          </w:p>
          <w:p w14:paraId="4D2EB93B" w14:textId="1484EA3F" w:rsidR="006B5882" w:rsidRDefault="006B5882" w:rsidP="00D5022D">
            <w:pPr>
              <w:jc w:val="center"/>
            </w:pPr>
            <w:r>
              <w:t>( đã kí)</w:t>
            </w:r>
          </w:p>
          <w:p w14:paraId="662DA7DB" w14:textId="77777777" w:rsidR="005F04C5" w:rsidRPr="006B5882" w:rsidRDefault="005F04C5" w:rsidP="00D5022D">
            <w:pPr>
              <w:jc w:val="center"/>
              <w:rPr>
                <w:b/>
                <w:sz w:val="28"/>
              </w:rPr>
            </w:pPr>
          </w:p>
          <w:p w14:paraId="008D5966" w14:textId="3BB295EF" w:rsidR="005F04C5" w:rsidRDefault="006B5882" w:rsidP="00D5022D">
            <w:pPr>
              <w:jc w:val="center"/>
            </w:pPr>
            <w:r w:rsidRPr="006B5882">
              <w:rPr>
                <w:b/>
                <w:sz w:val="28"/>
              </w:rPr>
              <w:t>Nguyễn Văn Quân</w:t>
            </w:r>
            <w:r w:rsidRPr="006B5882">
              <w:rPr>
                <w:sz w:val="28"/>
              </w:rPr>
              <w:t xml:space="preserve"> </w:t>
            </w:r>
          </w:p>
        </w:tc>
      </w:tr>
    </w:tbl>
    <w:p w14:paraId="445BF5FE" w14:textId="6A1EA584" w:rsidR="00BD1B82" w:rsidRDefault="00BD1B82" w:rsidP="00616553"/>
    <w:p w14:paraId="4533B142" w14:textId="4BB8D8AA" w:rsidR="00BD1B82" w:rsidRDefault="00BD1B82" w:rsidP="00616553">
      <w:r>
        <w:lastRenderedPageBreak/>
        <w:t xml:space="preserve">      UBND HUYỆN GIA LỘC</w:t>
      </w:r>
    </w:p>
    <w:p w14:paraId="05E40725" w14:textId="24D28212" w:rsidR="00BD1B82" w:rsidRPr="00BD1B82" w:rsidRDefault="00F62B8A" w:rsidP="00616553">
      <w:pPr>
        <w:rPr>
          <w:b/>
        </w:rPr>
      </w:pPr>
      <w:r>
        <w:rPr>
          <w:b/>
        </w:rPr>
        <w:t xml:space="preserve"> </w:t>
      </w:r>
      <w:r w:rsidR="00BD1B82" w:rsidRPr="00BD1B82">
        <w:rPr>
          <w:b/>
        </w:rPr>
        <w:t xml:space="preserve">TRƯỜNG TH QUANG MINH </w:t>
      </w:r>
    </w:p>
    <w:p w14:paraId="7BB7280C" w14:textId="6B471B8C" w:rsidR="00BD1B82" w:rsidRDefault="00962DD0" w:rsidP="00616553">
      <w:r>
        <w:rPr>
          <w:noProof/>
          <w:lang w:eastAsia="en-US"/>
        </w:rPr>
        <w:pict w14:anchorId="21F8AAD2">
          <v:shape id="_x0000_s1029" type="#_x0000_t32" style="position:absolute;margin-left:42.45pt;margin-top:3.7pt;width:80.5pt;height:0;z-index:251661312" o:connectortype="straight"/>
        </w:pict>
      </w:r>
    </w:p>
    <w:p w14:paraId="52CDE4C1" w14:textId="3FCDA292" w:rsidR="00BD1B82" w:rsidRDefault="00BD1B82" w:rsidP="00616553"/>
    <w:p w14:paraId="4EE28870" w14:textId="7739EF74" w:rsidR="00BD1B82" w:rsidRPr="00BD1B82" w:rsidRDefault="00BD1B82" w:rsidP="00F62B8A">
      <w:pPr>
        <w:spacing w:line="360" w:lineRule="auto"/>
        <w:jc w:val="center"/>
        <w:rPr>
          <w:b/>
        </w:rPr>
      </w:pPr>
      <w:r w:rsidRPr="00BD1B82">
        <w:rPr>
          <w:b/>
        </w:rPr>
        <w:t>DỰ TOÁN NGÂN SÁCH GIAO NĂM 202</w:t>
      </w:r>
      <w:r w:rsidR="007C3CB7">
        <w:rPr>
          <w:b/>
        </w:rPr>
        <w:t>4</w:t>
      </w:r>
    </w:p>
    <w:p w14:paraId="3B74A4BE" w14:textId="0B29DB2A" w:rsidR="00BD1B82" w:rsidRDefault="00BD1B82" w:rsidP="00F62B8A">
      <w:pPr>
        <w:spacing w:line="360" w:lineRule="auto"/>
        <w:jc w:val="center"/>
        <w:rPr>
          <w:i/>
        </w:rPr>
      </w:pPr>
      <w:r w:rsidRPr="00BD1B82">
        <w:rPr>
          <w:i/>
        </w:rPr>
        <w:t xml:space="preserve">( Theo Quyết định số </w:t>
      </w:r>
      <w:r w:rsidR="007C3CB7">
        <w:rPr>
          <w:i/>
        </w:rPr>
        <w:t>2979</w:t>
      </w:r>
      <w:r w:rsidRPr="00BD1B82">
        <w:rPr>
          <w:i/>
        </w:rPr>
        <w:t>/QĐ-UBND ngày 2</w:t>
      </w:r>
      <w:r w:rsidR="007C3CB7">
        <w:rPr>
          <w:i/>
        </w:rPr>
        <w:t>5</w:t>
      </w:r>
      <w:r w:rsidRPr="00BD1B82">
        <w:rPr>
          <w:i/>
        </w:rPr>
        <w:t>/12/202</w:t>
      </w:r>
      <w:r w:rsidR="007C3CB7">
        <w:rPr>
          <w:i/>
        </w:rPr>
        <w:t>3</w:t>
      </w:r>
      <w:r w:rsidRPr="00BD1B82">
        <w:rPr>
          <w:i/>
        </w:rPr>
        <w:t xml:space="preserve"> của UBND huyện Gia Lộc</w:t>
      </w:r>
      <w:r>
        <w:rPr>
          <w:i/>
        </w:rPr>
        <w:t>)</w:t>
      </w:r>
    </w:p>
    <w:p w14:paraId="35E00A59" w14:textId="6EF9B685" w:rsidR="00BD1B82" w:rsidRDefault="00BD1B82" w:rsidP="00F62B8A">
      <w:pPr>
        <w:spacing w:line="360" w:lineRule="auto"/>
        <w:jc w:val="center"/>
        <w:rPr>
          <w:i/>
        </w:rPr>
      </w:pPr>
    </w:p>
    <w:tbl>
      <w:tblPr>
        <w:tblStyle w:val="TableGrid"/>
        <w:tblW w:w="0" w:type="auto"/>
        <w:tblLook w:val="04A0" w:firstRow="1" w:lastRow="0" w:firstColumn="1" w:lastColumn="0" w:noHBand="0" w:noVBand="1"/>
      </w:tblPr>
      <w:tblGrid>
        <w:gridCol w:w="670"/>
        <w:gridCol w:w="5555"/>
        <w:gridCol w:w="3063"/>
      </w:tblGrid>
      <w:tr w:rsidR="00BD1B82" w14:paraId="2CAB2499" w14:textId="77777777" w:rsidTr="00BD1B82">
        <w:tc>
          <w:tcPr>
            <w:tcW w:w="558" w:type="dxa"/>
          </w:tcPr>
          <w:p w14:paraId="2ACA5DB3" w14:textId="256996C9" w:rsidR="00BD1B82" w:rsidRPr="00F62B8A" w:rsidRDefault="00BD1B82" w:rsidP="00F62B8A">
            <w:pPr>
              <w:spacing w:line="360" w:lineRule="auto"/>
              <w:jc w:val="center"/>
              <w:rPr>
                <w:b/>
              </w:rPr>
            </w:pPr>
            <w:r w:rsidRPr="00F62B8A">
              <w:rPr>
                <w:b/>
              </w:rPr>
              <w:t>STT</w:t>
            </w:r>
          </w:p>
        </w:tc>
        <w:tc>
          <w:tcPr>
            <w:tcW w:w="5634" w:type="dxa"/>
          </w:tcPr>
          <w:p w14:paraId="30797019" w14:textId="3FA89EE5" w:rsidR="00BD1B82" w:rsidRPr="00F62B8A" w:rsidRDefault="00BD1B82" w:rsidP="00F62B8A">
            <w:pPr>
              <w:spacing w:line="360" w:lineRule="auto"/>
              <w:jc w:val="center"/>
              <w:rPr>
                <w:b/>
              </w:rPr>
            </w:pPr>
            <w:r w:rsidRPr="00F62B8A">
              <w:rPr>
                <w:b/>
              </w:rPr>
              <w:t>Nội dung</w:t>
            </w:r>
          </w:p>
        </w:tc>
        <w:tc>
          <w:tcPr>
            <w:tcW w:w="3096" w:type="dxa"/>
          </w:tcPr>
          <w:p w14:paraId="3DCE4147" w14:textId="74EF0791" w:rsidR="00BD1B82" w:rsidRPr="00F62B8A" w:rsidRDefault="00BD1B82" w:rsidP="00F62B8A">
            <w:pPr>
              <w:spacing w:line="360" w:lineRule="auto"/>
              <w:jc w:val="center"/>
              <w:rPr>
                <w:b/>
              </w:rPr>
            </w:pPr>
            <w:r w:rsidRPr="00F62B8A">
              <w:rPr>
                <w:b/>
              </w:rPr>
              <w:t xml:space="preserve">Số tiền ( </w:t>
            </w:r>
            <w:r w:rsidR="007C3CB7">
              <w:rPr>
                <w:b/>
              </w:rPr>
              <w:t xml:space="preserve">nghìn </w:t>
            </w:r>
            <w:r w:rsidRPr="00F62B8A">
              <w:rPr>
                <w:b/>
              </w:rPr>
              <w:t>đồng)</w:t>
            </w:r>
          </w:p>
        </w:tc>
      </w:tr>
      <w:tr w:rsidR="00BD1B82" w14:paraId="368C1F08" w14:textId="77777777" w:rsidTr="00BD1B82">
        <w:tc>
          <w:tcPr>
            <w:tcW w:w="558" w:type="dxa"/>
          </w:tcPr>
          <w:p w14:paraId="3CA7D953" w14:textId="77777777" w:rsidR="00BD1B82" w:rsidRDefault="00BD1B82" w:rsidP="00F62B8A">
            <w:pPr>
              <w:spacing w:line="360" w:lineRule="auto"/>
              <w:jc w:val="center"/>
            </w:pPr>
          </w:p>
        </w:tc>
        <w:tc>
          <w:tcPr>
            <w:tcW w:w="5634" w:type="dxa"/>
          </w:tcPr>
          <w:p w14:paraId="0E491388" w14:textId="3D76AD35" w:rsidR="00BD1B82" w:rsidRDefault="00BD1B82" w:rsidP="00F62B8A">
            <w:pPr>
              <w:spacing w:line="360" w:lineRule="auto"/>
              <w:jc w:val="both"/>
            </w:pPr>
            <w:r>
              <w:t xml:space="preserve">Kinh phí từ nguồn ngân sách </w:t>
            </w:r>
          </w:p>
        </w:tc>
        <w:tc>
          <w:tcPr>
            <w:tcW w:w="3096" w:type="dxa"/>
          </w:tcPr>
          <w:p w14:paraId="247EFBBC" w14:textId="252FD75F" w:rsidR="00BD1B82" w:rsidRDefault="007C3CB7" w:rsidP="007C3CB7">
            <w:pPr>
              <w:spacing w:line="360" w:lineRule="auto"/>
              <w:jc w:val="center"/>
            </w:pPr>
            <w:r>
              <w:t>5.536.139</w:t>
            </w:r>
          </w:p>
        </w:tc>
      </w:tr>
      <w:tr w:rsidR="00BD1B82" w14:paraId="6CB4977E" w14:textId="77777777" w:rsidTr="00BD1B82">
        <w:tc>
          <w:tcPr>
            <w:tcW w:w="558" w:type="dxa"/>
          </w:tcPr>
          <w:p w14:paraId="388F578A" w14:textId="0CDF9CD4" w:rsidR="00BD1B82" w:rsidRDefault="00BD1B82" w:rsidP="00F62B8A">
            <w:pPr>
              <w:spacing w:line="360" w:lineRule="auto"/>
              <w:jc w:val="center"/>
            </w:pPr>
            <w:r>
              <w:t>1</w:t>
            </w:r>
          </w:p>
        </w:tc>
        <w:tc>
          <w:tcPr>
            <w:tcW w:w="5634" w:type="dxa"/>
          </w:tcPr>
          <w:p w14:paraId="6E1E169B" w14:textId="45DDF648" w:rsidR="00BD1B82" w:rsidRDefault="00BD1B82" w:rsidP="00F62B8A">
            <w:pPr>
              <w:spacing w:line="360" w:lineRule="auto"/>
              <w:jc w:val="both"/>
            </w:pPr>
            <w:r>
              <w:t>Kinh phí thường xuyên giao tự chủ</w:t>
            </w:r>
          </w:p>
        </w:tc>
        <w:tc>
          <w:tcPr>
            <w:tcW w:w="3096" w:type="dxa"/>
          </w:tcPr>
          <w:p w14:paraId="13563178" w14:textId="3249BE3B" w:rsidR="00BD1B82" w:rsidRDefault="007C3CB7" w:rsidP="00F62B8A">
            <w:pPr>
              <w:spacing w:line="360" w:lineRule="auto"/>
              <w:jc w:val="center"/>
            </w:pPr>
            <w:r>
              <w:t>5.536.139</w:t>
            </w:r>
          </w:p>
        </w:tc>
      </w:tr>
      <w:tr w:rsidR="00BD1B82" w14:paraId="32CCC073" w14:textId="77777777" w:rsidTr="00BD1B82">
        <w:tc>
          <w:tcPr>
            <w:tcW w:w="558" w:type="dxa"/>
          </w:tcPr>
          <w:p w14:paraId="6724A0E0" w14:textId="6742DC99" w:rsidR="00BD1B82" w:rsidRDefault="00BD1B82" w:rsidP="00F62B8A">
            <w:pPr>
              <w:spacing w:line="360" w:lineRule="auto"/>
              <w:jc w:val="center"/>
            </w:pPr>
            <w:r>
              <w:t>2</w:t>
            </w:r>
          </w:p>
        </w:tc>
        <w:tc>
          <w:tcPr>
            <w:tcW w:w="5634" w:type="dxa"/>
          </w:tcPr>
          <w:p w14:paraId="033CA4FE" w14:textId="67CCCC43" w:rsidR="00BD1B82" w:rsidRDefault="00BD1B82" w:rsidP="00F62B8A">
            <w:pPr>
              <w:spacing w:line="360" w:lineRule="auto"/>
              <w:jc w:val="both"/>
            </w:pPr>
            <w:r>
              <w:t>Kinh phí chi chương trình mục tiêu</w:t>
            </w:r>
          </w:p>
        </w:tc>
        <w:tc>
          <w:tcPr>
            <w:tcW w:w="3096" w:type="dxa"/>
          </w:tcPr>
          <w:p w14:paraId="4892622A" w14:textId="260DE969" w:rsidR="00BD1B82" w:rsidRDefault="00BD1B82" w:rsidP="00F62B8A">
            <w:pPr>
              <w:spacing w:line="360" w:lineRule="auto"/>
              <w:jc w:val="center"/>
            </w:pPr>
            <w:r>
              <w:t>0</w:t>
            </w:r>
          </w:p>
        </w:tc>
      </w:tr>
      <w:tr w:rsidR="00BD1B82" w14:paraId="32E3B5DA" w14:textId="77777777" w:rsidTr="00BD1B82">
        <w:tc>
          <w:tcPr>
            <w:tcW w:w="558" w:type="dxa"/>
          </w:tcPr>
          <w:p w14:paraId="60AAA876" w14:textId="1C91F26C" w:rsidR="00BD1B82" w:rsidRDefault="00BD1B82" w:rsidP="00F62B8A">
            <w:pPr>
              <w:spacing w:line="360" w:lineRule="auto"/>
              <w:jc w:val="center"/>
            </w:pPr>
            <w:r>
              <w:t>-</w:t>
            </w:r>
          </w:p>
        </w:tc>
        <w:tc>
          <w:tcPr>
            <w:tcW w:w="5634" w:type="dxa"/>
          </w:tcPr>
          <w:p w14:paraId="0E0D9907" w14:textId="63D2C257" w:rsidR="00BD1B82" w:rsidRDefault="00BD1B82" w:rsidP="00F62B8A">
            <w:pPr>
              <w:spacing w:line="360" w:lineRule="auto"/>
              <w:jc w:val="both"/>
            </w:pPr>
            <w:r>
              <w:t>Hỗ trợ học bổng và mua PT đồ dùng cho trẻ khuyết tật</w:t>
            </w:r>
          </w:p>
        </w:tc>
        <w:tc>
          <w:tcPr>
            <w:tcW w:w="3096" w:type="dxa"/>
          </w:tcPr>
          <w:p w14:paraId="3AB45312" w14:textId="77777777" w:rsidR="00BD1B82" w:rsidRDefault="00BD1B82" w:rsidP="00F62B8A">
            <w:pPr>
              <w:spacing w:line="360" w:lineRule="auto"/>
              <w:jc w:val="center"/>
            </w:pPr>
          </w:p>
        </w:tc>
      </w:tr>
    </w:tbl>
    <w:p w14:paraId="7CDC0360" w14:textId="6F6F0123" w:rsidR="00BD1B82" w:rsidRDefault="00BD1B82" w:rsidP="00F62B8A">
      <w:pPr>
        <w:spacing w:line="360" w:lineRule="auto"/>
        <w:jc w:val="both"/>
      </w:pPr>
    </w:p>
    <w:p w14:paraId="108B7F99" w14:textId="18E9BA72" w:rsidR="00BD1B82" w:rsidRPr="00BD1B82" w:rsidRDefault="00FF02B8" w:rsidP="00F62B8A">
      <w:pPr>
        <w:spacing w:line="360" w:lineRule="auto"/>
        <w:jc w:val="both"/>
      </w:pPr>
      <w:r>
        <w:t xml:space="preserve">  </w:t>
      </w:r>
      <w:r w:rsidR="00F62B8A">
        <w:tab/>
      </w:r>
      <w:r>
        <w:t>Dự toán chi ngân sách của năm 202</w:t>
      </w:r>
      <w:r w:rsidR="00EA438F">
        <w:t>4</w:t>
      </w:r>
      <w:r>
        <w:t xml:space="preserve"> đã bao gồm tiền lương theo Nghị định số 39/2019/NĐ-CP ngày 09/5/2019 của Chính phủ; phụ cấp thâm niên nhà giáo theo Nghị định số 54/2011/NĐ-CP ngày 04/7/2011 của Chính phủ; tiền công lao động hợp đồng được cơ quan </w:t>
      </w:r>
      <w:r w:rsidR="000F3A80">
        <w:t xml:space="preserve">thẩm quyền phê duyệt; các khoản đóng góp theo quy định. </w:t>
      </w:r>
    </w:p>
    <w:sectPr w:rsidR="00BD1B82" w:rsidRPr="00BD1B82" w:rsidSect="00B5104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VnAristot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juTt0naI2OXJS81c1Zk/jnvQAakrbuzloejnPO7kMDbjt1YtqZZirJhieSgqKn/YW0aHSwgrlT4StxM6hGGGIw==" w:salt="YgI8s2q0a82Z+wAcwrRJQQ=="/>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2"/>
  </w:compat>
  <w:rsids>
    <w:rsidRoot w:val="00720DC5"/>
    <w:rsid w:val="00094A99"/>
    <w:rsid w:val="0009726E"/>
    <w:rsid w:val="000F3A80"/>
    <w:rsid w:val="0011100D"/>
    <w:rsid w:val="00190B44"/>
    <w:rsid w:val="001D48EC"/>
    <w:rsid w:val="00223D63"/>
    <w:rsid w:val="00235BB3"/>
    <w:rsid w:val="002E0742"/>
    <w:rsid w:val="002F2B46"/>
    <w:rsid w:val="003114DC"/>
    <w:rsid w:val="00322128"/>
    <w:rsid w:val="003B35C6"/>
    <w:rsid w:val="003D2E4B"/>
    <w:rsid w:val="003E2012"/>
    <w:rsid w:val="00401C4F"/>
    <w:rsid w:val="00417A86"/>
    <w:rsid w:val="005F04C5"/>
    <w:rsid w:val="00616553"/>
    <w:rsid w:val="0064427B"/>
    <w:rsid w:val="006B5882"/>
    <w:rsid w:val="006E5CC9"/>
    <w:rsid w:val="006F69A0"/>
    <w:rsid w:val="0071332D"/>
    <w:rsid w:val="00720DC5"/>
    <w:rsid w:val="00726A58"/>
    <w:rsid w:val="00785936"/>
    <w:rsid w:val="007C3CB7"/>
    <w:rsid w:val="008B5D54"/>
    <w:rsid w:val="008D772A"/>
    <w:rsid w:val="009159AE"/>
    <w:rsid w:val="00955734"/>
    <w:rsid w:val="009606F3"/>
    <w:rsid w:val="00962DD0"/>
    <w:rsid w:val="00965995"/>
    <w:rsid w:val="00997BF4"/>
    <w:rsid w:val="009A0541"/>
    <w:rsid w:val="009C62BD"/>
    <w:rsid w:val="00A1558E"/>
    <w:rsid w:val="00A1585C"/>
    <w:rsid w:val="00A64440"/>
    <w:rsid w:val="00A95256"/>
    <w:rsid w:val="00AC08B3"/>
    <w:rsid w:val="00AE2348"/>
    <w:rsid w:val="00B2069F"/>
    <w:rsid w:val="00B37A47"/>
    <w:rsid w:val="00B41CE0"/>
    <w:rsid w:val="00B51048"/>
    <w:rsid w:val="00BA027D"/>
    <w:rsid w:val="00BD1B82"/>
    <w:rsid w:val="00BD2BDE"/>
    <w:rsid w:val="00BD5CC5"/>
    <w:rsid w:val="00C44B98"/>
    <w:rsid w:val="00C46C0F"/>
    <w:rsid w:val="00D16DBF"/>
    <w:rsid w:val="00D21537"/>
    <w:rsid w:val="00DA3877"/>
    <w:rsid w:val="00DD2D74"/>
    <w:rsid w:val="00DF6272"/>
    <w:rsid w:val="00E155E0"/>
    <w:rsid w:val="00EA0AE5"/>
    <w:rsid w:val="00EA438F"/>
    <w:rsid w:val="00F27F0D"/>
    <w:rsid w:val="00F62B8A"/>
    <w:rsid w:val="00F96509"/>
    <w:rsid w:val="00FA4A1E"/>
    <w:rsid w:val="00FF0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6"/>
        <o:r id="V:Rule2" type="connector" idref="#_x0000_s1028"/>
        <o:r id="V:Rule3" type="connector" idref="#_x0000_s1027"/>
        <o:r id="V:Rule4" type="connector" idref="#_x0000_s1029"/>
      </o:rules>
    </o:shapelayout>
  </w:shapeDefaults>
  <w:decimalSymbol w:val="."/>
  <w:listSeparator w:val=","/>
  <w14:docId w14:val="493E69FB"/>
  <w15:docId w15:val="{0659C5D0-0502-4EF7-84C0-FC673E05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DC5"/>
    <w:rPr>
      <w:rFonts w:eastAsia="Times New Roman"/>
      <w:sz w:val="24"/>
      <w:szCs w:val="24"/>
    </w:rPr>
  </w:style>
  <w:style w:type="paragraph" w:styleId="Heading1">
    <w:name w:val="heading 1"/>
    <w:basedOn w:val="Normal"/>
    <w:next w:val="Normal"/>
    <w:link w:val="Heading1Char"/>
    <w:qFormat/>
    <w:rsid w:val="00C44B98"/>
    <w:pPr>
      <w:keepNext/>
      <w:ind w:left="1440"/>
      <w:outlineLvl w:val="0"/>
    </w:pPr>
    <w:rPr>
      <w:rFonts w:ascii=".VnTime" w:eastAsiaTheme="minorEastAsia" w:hAnsi=".VnTime"/>
      <w:b/>
      <w:i/>
      <w:sz w:val="26"/>
      <w:szCs w:val="20"/>
    </w:rPr>
  </w:style>
  <w:style w:type="paragraph" w:styleId="Heading2">
    <w:name w:val="heading 2"/>
    <w:basedOn w:val="Normal"/>
    <w:next w:val="Normal"/>
    <w:link w:val="Heading2Char"/>
    <w:qFormat/>
    <w:rsid w:val="00C44B98"/>
    <w:pPr>
      <w:keepNext/>
      <w:ind w:left="1440" w:firstLine="720"/>
      <w:outlineLvl w:val="1"/>
    </w:pPr>
    <w:rPr>
      <w:rFonts w:ascii=".VnTime" w:eastAsiaTheme="minorEastAsia" w:hAnsi=".VnTime"/>
      <w:b/>
      <w:i/>
      <w:sz w:val="26"/>
      <w:szCs w:val="20"/>
    </w:rPr>
  </w:style>
  <w:style w:type="paragraph" w:styleId="Heading3">
    <w:name w:val="heading 3"/>
    <w:basedOn w:val="Normal"/>
    <w:next w:val="Normal"/>
    <w:link w:val="Heading3Char"/>
    <w:qFormat/>
    <w:rsid w:val="00C44B98"/>
    <w:pPr>
      <w:keepNext/>
      <w:outlineLvl w:val="2"/>
    </w:pPr>
    <w:rPr>
      <w:rFonts w:ascii=".VnTime" w:eastAsiaTheme="minorEastAsia" w:hAnsi=".VnTime"/>
      <w:b/>
      <w:sz w:val="26"/>
      <w:szCs w:val="20"/>
    </w:rPr>
  </w:style>
  <w:style w:type="paragraph" w:styleId="Heading4">
    <w:name w:val="heading 4"/>
    <w:basedOn w:val="Normal"/>
    <w:next w:val="Normal"/>
    <w:link w:val="Heading4Char"/>
    <w:qFormat/>
    <w:rsid w:val="00C44B98"/>
    <w:pPr>
      <w:keepNext/>
      <w:jc w:val="center"/>
      <w:outlineLvl w:val="3"/>
    </w:pPr>
    <w:rPr>
      <w:rFonts w:ascii=".VnTimeH" w:eastAsiaTheme="minorEastAsia" w:hAnsi=".VnTimeH"/>
      <w:b/>
      <w:sz w:val="32"/>
      <w:szCs w:val="20"/>
    </w:rPr>
  </w:style>
  <w:style w:type="paragraph" w:styleId="Heading5">
    <w:name w:val="heading 5"/>
    <w:basedOn w:val="Normal"/>
    <w:next w:val="Normal"/>
    <w:link w:val="Heading5Char"/>
    <w:qFormat/>
    <w:rsid w:val="00C44B98"/>
    <w:pPr>
      <w:keepNext/>
      <w:spacing w:before="240" w:line="400" w:lineRule="exact"/>
      <w:jc w:val="center"/>
      <w:outlineLvl w:val="4"/>
    </w:pPr>
    <w:rPr>
      <w:rFonts w:ascii=".VnTimeH" w:eastAsiaTheme="minorEastAsia" w:hAnsi=".VnTimeH"/>
      <w:b/>
      <w:sz w:val="52"/>
      <w:szCs w:val="20"/>
    </w:rPr>
  </w:style>
  <w:style w:type="paragraph" w:styleId="Heading6">
    <w:name w:val="heading 6"/>
    <w:basedOn w:val="Normal"/>
    <w:next w:val="Normal"/>
    <w:link w:val="Heading6Char"/>
    <w:qFormat/>
    <w:rsid w:val="00C44B98"/>
    <w:pPr>
      <w:keepNext/>
      <w:spacing w:line="400" w:lineRule="exact"/>
      <w:jc w:val="both"/>
      <w:outlineLvl w:val="5"/>
    </w:pPr>
    <w:rPr>
      <w:rFonts w:ascii=".VnAristote" w:eastAsiaTheme="minorEastAsia" w:hAnsi=".VnAristote"/>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4B98"/>
    <w:rPr>
      <w:rFonts w:ascii=".VnTime" w:hAnsi=".VnTime"/>
      <w:b/>
      <w:i/>
      <w:sz w:val="26"/>
    </w:rPr>
  </w:style>
  <w:style w:type="character" w:customStyle="1" w:styleId="Heading2Char">
    <w:name w:val="Heading 2 Char"/>
    <w:basedOn w:val="DefaultParagraphFont"/>
    <w:link w:val="Heading2"/>
    <w:rsid w:val="00C44B98"/>
    <w:rPr>
      <w:rFonts w:ascii=".VnTime" w:hAnsi=".VnTime"/>
      <w:b/>
      <w:i/>
      <w:sz w:val="26"/>
    </w:rPr>
  </w:style>
  <w:style w:type="character" w:customStyle="1" w:styleId="Heading3Char">
    <w:name w:val="Heading 3 Char"/>
    <w:basedOn w:val="DefaultParagraphFont"/>
    <w:link w:val="Heading3"/>
    <w:rsid w:val="00C44B98"/>
    <w:rPr>
      <w:rFonts w:ascii=".VnTime" w:hAnsi=".VnTime"/>
      <w:b/>
      <w:sz w:val="26"/>
    </w:rPr>
  </w:style>
  <w:style w:type="character" w:customStyle="1" w:styleId="Heading4Char">
    <w:name w:val="Heading 4 Char"/>
    <w:basedOn w:val="DefaultParagraphFont"/>
    <w:link w:val="Heading4"/>
    <w:rsid w:val="00C44B98"/>
    <w:rPr>
      <w:rFonts w:ascii=".VnTimeH" w:hAnsi=".VnTimeH"/>
      <w:b/>
      <w:sz w:val="32"/>
    </w:rPr>
  </w:style>
  <w:style w:type="character" w:customStyle="1" w:styleId="Heading5Char">
    <w:name w:val="Heading 5 Char"/>
    <w:basedOn w:val="DefaultParagraphFont"/>
    <w:link w:val="Heading5"/>
    <w:rsid w:val="00C44B98"/>
    <w:rPr>
      <w:rFonts w:ascii=".VnTimeH" w:hAnsi=".VnTimeH"/>
      <w:b/>
      <w:sz w:val="52"/>
    </w:rPr>
  </w:style>
  <w:style w:type="character" w:customStyle="1" w:styleId="Heading6Char">
    <w:name w:val="Heading 6 Char"/>
    <w:basedOn w:val="DefaultParagraphFont"/>
    <w:link w:val="Heading6"/>
    <w:rsid w:val="00C44B98"/>
    <w:rPr>
      <w:rFonts w:ascii=".VnAristote" w:hAnsi=".VnAristote"/>
      <w:b/>
      <w:sz w:val="32"/>
    </w:rPr>
  </w:style>
  <w:style w:type="paragraph" w:styleId="BalloonText">
    <w:name w:val="Balloon Text"/>
    <w:basedOn w:val="Normal"/>
    <w:link w:val="BalloonTextChar"/>
    <w:uiPriority w:val="99"/>
    <w:semiHidden/>
    <w:unhideWhenUsed/>
    <w:rsid w:val="0078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936"/>
    <w:rPr>
      <w:rFonts w:ascii="Segoe UI" w:eastAsia="Times New Roman" w:hAnsi="Segoe UI" w:cs="Segoe UI"/>
      <w:sz w:val="18"/>
      <w:szCs w:val="18"/>
    </w:rPr>
  </w:style>
  <w:style w:type="table" w:styleId="TableGrid">
    <w:name w:val="Table Grid"/>
    <w:basedOn w:val="TableNormal"/>
    <w:uiPriority w:val="59"/>
    <w:rsid w:val="00BD1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dell</cp:lastModifiedBy>
  <cp:revision>37</cp:revision>
  <cp:lastPrinted>2022-05-11T11:41:00Z</cp:lastPrinted>
  <dcterms:created xsi:type="dcterms:W3CDTF">2020-10-28T01:11:00Z</dcterms:created>
  <dcterms:modified xsi:type="dcterms:W3CDTF">2024-02-21T09:26:00Z</dcterms:modified>
</cp:coreProperties>
</file>